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A" w:rsidRDefault="00556F3A" w:rsidP="00556F3A">
      <w:pPr>
        <w:pStyle w:val="Nessunaspaziatur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ARCIDIOCESI </w:t>
      </w:r>
      <w:proofErr w:type="spellStart"/>
      <w:r>
        <w:rPr>
          <w:rFonts w:ascii="Times New Roman" w:hAnsi="Times New Roman"/>
          <w:sz w:val="16"/>
          <w:szCs w:val="16"/>
        </w:rPr>
        <w:t>DI</w:t>
      </w:r>
      <w:proofErr w:type="spellEnd"/>
      <w:r>
        <w:rPr>
          <w:rFonts w:ascii="Times New Roman" w:hAnsi="Times New Roman"/>
          <w:sz w:val="16"/>
          <w:szCs w:val="16"/>
        </w:rPr>
        <w:t xml:space="preserve"> MODENA - NONANTOLA</w:t>
      </w:r>
    </w:p>
    <w:p w:rsidR="00556F3A" w:rsidRDefault="00556F3A" w:rsidP="00556F3A">
      <w:pPr>
        <w:pStyle w:val="Nessunaspaziatur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Ufficio Stampa</w:t>
      </w:r>
    </w:p>
    <w:p w:rsidR="00556F3A" w:rsidRDefault="00556F3A" w:rsidP="00556F3A">
      <w:pPr>
        <w:pStyle w:val="Nessunaspaziatur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 059 - 2133866</w:t>
      </w:r>
    </w:p>
    <w:p w:rsidR="00556F3A" w:rsidRDefault="00556F3A" w:rsidP="00556F3A">
      <w:pPr>
        <w:pStyle w:val="Nessunaspaziatur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Fax 059 – 2133805</w:t>
      </w:r>
    </w:p>
    <w:p w:rsidR="00556F3A" w:rsidRDefault="00556F3A" w:rsidP="00556F3A">
      <w:pPr>
        <w:pStyle w:val="Nessunaspaziatur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E-mail: comunicazionisociali@modena.chiesacattolica.it</w:t>
      </w:r>
    </w:p>
    <w:p w:rsidR="00556F3A" w:rsidRPr="00556F3A" w:rsidRDefault="00556F3A" w:rsidP="00556F3A">
      <w:pPr>
        <w:pStyle w:val="Nessunaspaziatura"/>
        <w:ind w:firstLine="180"/>
        <w:rPr>
          <w:rFonts w:ascii="Times New Roman" w:hAnsi="Times New Roman"/>
          <w:b/>
          <w:sz w:val="24"/>
          <w:szCs w:val="24"/>
        </w:rPr>
      </w:pPr>
      <w:r>
        <w:t xml:space="preserve">  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F3A" w:rsidRDefault="00556F3A" w:rsidP="00556F3A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F3A">
        <w:rPr>
          <w:rFonts w:ascii="Times New Roman" w:eastAsia="Calibri" w:hAnsi="Times New Roman" w:cs="Times New Roman"/>
          <w:b/>
          <w:sz w:val="28"/>
          <w:szCs w:val="28"/>
        </w:rPr>
        <w:t>L’essere umano prima delle categorie</w:t>
      </w:r>
    </w:p>
    <w:p w:rsidR="00556F3A" w:rsidRDefault="00556F3A" w:rsidP="00556F3A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F3A" w:rsidRPr="00556F3A" w:rsidRDefault="00556F3A" w:rsidP="00556F3A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Messaggio  alla città 2016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i/>
          <w:sz w:val="24"/>
          <w:szCs w:val="24"/>
        </w:rPr>
        <w:t>“Quanti siete stati battezzati in Cristo, vi siete rivestiti di Cristo. Non c’è più giudeo né greco; non c’è più schiavo né libero; non c’è più uomo né donna, poiché tutti voi siete uno in Cristo Gesù”</w:t>
      </w:r>
      <w:r w:rsidRPr="00556F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In questo passaggio della Lettera ai 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Galati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(3,27-28), San Paolo concentra la novità portata da Gesù con la sua predicazione, azione e persona: farci “uno” in lui, incarnare l’unità di Dio con l’uomo e degli uomini tra loro. La Chiesa esiste per servire questa unità: la sua identità, come afferma il Concilio Vaticano II, è di essere “segno e strumento dell’intima unione con Dio e dell’unità di tutto il genere umano” (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 xml:space="preserve">Lumen </w:t>
      </w:r>
      <w:proofErr w:type="spellStart"/>
      <w:r w:rsidRPr="00556F3A">
        <w:rPr>
          <w:rFonts w:ascii="Times New Roman" w:eastAsia="Calibri" w:hAnsi="Times New Roman" w:cs="Times New Roman"/>
          <w:i/>
          <w:sz w:val="24"/>
          <w:szCs w:val="24"/>
        </w:rPr>
        <w:t>Gentium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1. Un tessuto  sociale sano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Da pochi mesi ho avviato il mio servizio episcopale a Modena-Nonantola e per la prima volta, seguendo una tradizione avviata dal vescovo Benito Cocchi, mi rivolgo alla Città in occasione della Solennità del nostro grande protettore, San Geminiano.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Formulo questa lettera con molta gratitudine, perché sono stato accolto con grande cordialità e disponibilità, espressa sia dalle istituzioni civili e militari, sia dai molti cittadini che ho incontrato o mi hanno scritto. Il tessuto sociale di Modena mi sembra fondamentalmente sano, costruttivo, laborioso e intraprendente. Non ho avvertito quel clima lamentoso e rassegnato che altrove si respira, ma piuttosto – nonostante i molti e complessi problemi – il desiderio di progettare e collaborare.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2. Il contributo  della Chiesa alla Città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Quale contributo offre e può offrire la Chiesa alla Città? In che modo può servire l’unità degli uomini con Dio e tra di loro? La risposta è semplice: continuando a svolgere la sua missione pastorale nella fedeltà al Vangelo. È semplice, però solo in teoria, perché in pratica le persone appartenenti alla Chiesa – ossia i battezzati – cadono spesso nei peccati, nei compromessi, nella ricerca dei propri interessi, talvolta persino nell’illegalità e nel reato. Come scrive Giovanni Paolo II, dunque, per “rifare il tessuto cristiano della società umana”, “la condizione è che si rifaccia il tessuto cristiano delle stesse comunità ecclesiali” (</w:t>
      </w:r>
      <w:proofErr w:type="spellStart"/>
      <w:r w:rsidRPr="00556F3A">
        <w:rPr>
          <w:rFonts w:ascii="Times New Roman" w:eastAsia="Calibri" w:hAnsi="Times New Roman" w:cs="Times New Roman"/>
          <w:i/>
          <w:sz w:val="24"/>
          <w:szCs w:val="24"/>
        </w:rPr>
        <w:t>Christifideles</w:t>
      </w:r>
      <w:proofErr w:type="spellEnd"/>
      <w:r w:rsidRPr="00556F3A">
        <w:rPr>
          <w:rFonts w:ascii="Times New Roman" w:eastAsia="Calibri" w:hAnsi="Times New Roman" w:cs="Times New Roman"/>
          <w:i/>
          <w:sz w:val="24"/>
          <w:szCs w:val="24"/>
        </w:rPr>
        <w:t xml:space="preserve"> Laici</w:t>
      </w: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34). La Chiesa non può indicare credibilmente alla Città le strade da percorrere, se contemporaneamente non percorre quelle stesse strade al suo interno.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Chiesa e mondo, del resto, non sono due grandezze parallele, ma si intrecciano: la Chiesa è quella parte di mondo che “guarda con fede a Gesù” come al suo Signore (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 xml:space="preserve">Lumen </w:t>
      </w:r>
      <w:proofErr w:type="spellStart"/>
      <w:r w:rsidRPr="00556F3A">
        <w:rPr>
          <w:rFonts w:ascii="Times New Roman" w:eastAsia="Calibri" w:hAnsi="Times New Roman" w:cs="Times New Roman"/>
          <w:i/>
          <w:sz w:val="24"/>
          <w:szCs w:val="24"/>
        </w:rPr>
        <w:t>Gentium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9). I cristiani sono davvero tali se, all’interno di uno Stato libero e democratico quale è il nostro, sono prima di tutto cittadini onesti. E credo allora che, con tutti i suoi difetti, la comunità ecclesiale incida positivamente sulla comunità civile.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 xml:space="preserve">3. Lo stile del confronto 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Nell’agenda sociale di oggi, nazionale e non solo modenese, molti sono gli argomenti all’ordine del giorno. Due tra di essi convogliano ai nostri giorni molte passioni: l’immigrazione e le unioni civili. Sono due temi che destano contrapposizioni culturali e politiche, animano dibattiti anche </w:t>
      </w:r>
      <w:r w:rsidRPr="00556F3A">
        <w:rPr>
          <w:rFonts w:ascii="Times New Roman" w:eastAsia="Calibri" w:hAnsi="Times New Roman" w:cs="Times New Roman"/>
          <w:sz w:val="24"/>
          <w:szCs w:val="24"/>
        </w:rPr>
        <w:lastRenderedPageBreak/>
        <w:t>accesi, ispirano trasmissioni televisive, articoli giornalistici, convegni e numerose prese di posizione, producono abbondante bibliografia.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Non intendo entrare nel merito delle questioni, perché sarebbe ridicolo e presuntuoso dire qualche cosa di sensato in poche righe. Intendo piuttosto segnalare lo stile e il contributo che la Chiesa può continuare ad offrire alla Città, in questi come in altri campi.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4. Fratelli oltre le divisioni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Le comunità cristiane delle origini, rispecchiate particolarmente nelle Lettere di San Paolo, si trovavano di fronte a tre grandi divisioni sociali: tra giudei e greci, tra schiavi e cittadini liberi, tra uomini e donne. Erano come tre grandi muri, considerati da alcuni come divisioni “naturali”; valevano di più queste categorie sociali distintive, rispetto all’appartenenza all’unica famiglia umana. Contavano di più, in altre parole, l’appartenenza 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etnico-religiosa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(giudei e greci e, più in generale, cittadini e stranieri), la disparità sociale ed economica (schiavi o liberi) e la distinzione sessuale (uomini o donne), rispetto alla fondamentale incorporazione al “genere umano”.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Di fronte a questi muri, i cristiani non si scoraggiarono e testimoniarono che “in Cristo” tutti siamo uno. Era una testimonianza prima dei fatti che delle parole. Nelle case – dove allora si riunivano, non potendo costruire chiese e strutture, come avviene ancora oggi nelle tante situazioni di persecuzione religiosa – i battezzati cominciarono a definirsi tra di loro “fratelli” e “sorelle”. Le distinzioni tra ebreo, greco, schiavo, libero, maschio e femmina vennero subordinate all’unità data dall’unico battesimo, aperto a tutti e non riservato solo ad alcuni.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Nelle case in cui la comunità si incontrava, dette poi dal II secolo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 xml:space="preserve">Domus </w:t>
      </w:r>
      <w:proofErr w:type="spellStart"/>
      <w:r w:rsidRPr="00556F3A">
        <w:rPr>
          <w:rFonts w:ascii="Times New Roman" w:eastAsia="Calibri" w:hAnsi="Times New Roman" w:cs="Times New Roman"/>
          <w:i/>
          <w:sz w:val="24"/>
          <w:szCs w:val="24"/>
        </w:rPr>
        <w:t>Ecclesiae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>, i fedeli si trovavano tutti “alla pari”: fossero di origine ebraica o pagana, fossero schiavi o liberi, fossero uomini o donne, tutti partecipavano al cammino catecumenale e alle catechesi, tutti potevano prendere parte alle celebrazioni liturgiche e – quando sussistevano le condizioni – fare la comunione e tutti offrivano il loro contributo per progettare la vita missionaria e pastorale della comunità e per assistere i poveri e i malati.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5. Testimoniare con umiltà e fermezza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Attraverso questa esperienza, fondata sull’abbattimento dei muri da parte di Gesù – muri che emarginavano bambini, donne, schiavi, malati, peccatori e stranieri – le prime comunità cristiane compresero ancora meglio il significato della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creazione</w:t>
      </w:r>
      <w:r w:rsidRPr="00556F3A">
        <w:rPr>
          <w:rFonts w:ascii="Times New Roman" w:eastAsia="Calibri" w:hAnsi="Times New Roman" w:cs="Times New Roman"/>
          <w:sz w:val="24"/>
          <w:szCs w:val="24"/>
        </w:rPr>
        <w:t>, per cui su ogni essere umano è impressa l’immagine e somiglianza di Dio (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Gen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1,26-27) e il significato della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redenzione</w:t>
      </w:r>
      <w:r w:rsidRPr="00556F3A">
        <w:rPr>
          <w:rFonts w:ascii="Times New Roman" w:eastAsia="Calibri" w:hAnsi="Times New Roman" w:cs="Times New Roman"/>
          <w:sz w:val="24"/>
          <w:szCs w:val="24"/>
        </w:rPr>
        <w:t>, per cui ogni essere umano, senza distinzione, è unito a Cristo e salvato da lui. Con umiltà e fermezza i cristiani inserirono nelle società antiche il valore della dignità della persona umana e la sua priorità rispetto a tutte le distinzioni di ruoli e condizioni, il primato del sostantivo rispetto all’aggettivo. Umiltà e fermezza: questo è lo stile evangelico.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i/>
          <w:sz w:val="24"/>
          <w:szCs w:val="24"/>
        </w:rPr>
        <w:t>Umiltà</w:t>
      </w:r>
      <w:r w:rsidRPr="00556F3A">
        <w:rPr>
          <w:rFonts w:ascii="Times New Roman" w:eastAsia="Calibri" w:hAnsi="Times New Roman" w:cs="Times New Roman"/>
          <w:sz w:val="24"/>
          <w:szCs w:val="24"/>
        </w:rPr>
        <w:t>: la Chiesa sa di essere, nella società pluralistica, una delle voci in campo nella società civile e di non avere più corsie preferenziali. Anche per questo non fanno parte del suo stile l’arroganza e la provocazione polemica – prassi così diffuse nel dibattito pubblico – e sono comprese invece la mitezza (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>. Mt 5,5; 11,29) e la disponibilità a ragionare (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cf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6F3A">
        <w:rPr>
          <w:rFonts w:ascii="Times New Roman" w:eastAsia="Calibri" w:hAnsi="Times New Roman" w:cs="Times New Roman"/>
          <w:sz w:val="24"/>
          <w:szCs w:val="24"/>
        </w:rPr>
        <w:t>Gv</w:t>
      </w:r>
      <w:proofErr w:type="spellEnd"/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18,23).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i/>
          <w:sz w:val="24"/>
          <w:szCs w:val="24"/>
        </w:rPr>
        <w:t>Fermezza</w:t>
      </w:r>
      <w:r w:rsidRPr="00556F3A">
        <w:rPr>
          <w:rFonts w:ascii="Times New Roman" w:eastAsia="Calibri" w:hAnsi="Times New Roman" w:cs="Times New Roman"/>
          <w:sz w:val="24"/>
          <w:szCs w:val="24"/>
        </w:rPr>
        <w:t>: la Chiesa non può rinunciare a portare avanti, in ogni cultura, quei valori fondati sul Vangelo che ritiene siano contributi alla crescita della civiltà. Se i primi cristiani non avessero osato sfidare i dogmi della società dell’epoca, quelle divisioni etniche, religiose, sessuali, economiche e sociali si sarebbero sfaldate con maggiore difficoltà.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6. Una comunità di laici e pastori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7. La Chiesa è una realtà variegata e non monolitica. Una convinzione diffusa identifica la Chiesa con i suoi pastori (papa, vescovi e preti), mentre in realtà essa è formata da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tutti</w:t>
      </w: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i cristiani e quindi, nella grande maggioranza, da laici. Come ha chiarito definitivamente il Concilio Vaticano II, mentre ai pastori compete la formazione delle comunità cristiane attraverso la predicazione, la </w:t>
      </w:r>
      <w:r w:rsidRPr="00556F3A">
        <w:rPr>
          <w:rFonts w:ascii="Times New Roman" w:eastAsia="Calibri" w:hAnsi="Times New Roman" w:cs="Times New Roman"/>
          <w:sz w:val="24"/>
          <w:szCs w:val="24"/>
        </w:rPr>
        <w:lastRenderedPageBreak/>
        <w:t>celebrazione e la guida pastorale, ai laici compete l’impegno diretto nei diversi settori della vita sociale.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Non si può chiedere ai pastori, come talvolta avviene, di sostituirsi ai laici: sul fenomeno migratorio come sulle unioni civili – per accennare ancora ai due temi oggi più caldi – spetta ai laici cristiani entrare nei diversi luoghi in cui si svolge il dibattito: dalla famiglia ai partiti, dalla scuola al mondo del lavoro, dalla cultura al volontariato. Ai pastori spetta formare le comunità ai valori di fondo – fondati sulla rivelazione e sostenuti dalla ragione – che sono alla base delle mentalità e delle prassi e sfociano nelle leggi e nelle normative.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F3A">
        <w:rPr>
          <w:rFonts w:ascii="Times New Roman" w:eastAsia="Calibri" w:hAnsi="Times New Roman" w:cs="Times New Roman"/>
          <w:b/>
          <w:sz w:val="24"/>
          <w:szCs w:val="24"/>
        </w:rPr>
        <w:t>7. Prima il sostantivo e poi l’aggettivo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In questo spirito, concludo la lettera richiamandone l’idea di fondo: il sostantivo è più importante dell’aggettivo. Il sostantivo “essere umano” è più importante delle sue specificazioni: cittadino o straniero, uomo o donna, cristiano o musulmano, bianco o nero, povero o ricco, sano o malato, nascituro o nato, giovane o vecchio, santo o peccatore. Se dimentichiamo questo principio, fondamento della civiltà occidentale nata anche con l’apporto del cristianesimo, retrocediamo anziché progredire. Questo principio è servito soprattutto a proteggere gli esseri umani più deboli e riconoscere loro uguali diritti.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Nel dibattito sull’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immigrazione</w:t>
      </w:r>
      <w:r w:rsidRPr="00556F3A">
        <w:rPr>
          <w:rFonts w:ascii="Times New Roman" w:eastAsia="Calibri" w:hAnsi="Times New Roman" w:cs="Times New Roman"/>
          <w:sz w:val="24"/>
          <w:szCs w:val="24"/>
        </w:rPr>
        <w:t>, occorre tenere presente la priorità dell’“essere umano” sullo “straniero”, specialmente quanto è rifugiato e quindi in una situazione particolarmente debole e sofferente; dentro a questa priorità va favorita l’inclusione o integrazione sociale, in un contesto di piena legalità e adesione alla Costituzione italiana e alle leggi del nostro Stato. La Città non può respingere per principio chi proviene da fuori, ma deve favorire – come sta facendo – un processo educativo che comporta l’alleanza tra istituzioni pubbliche e private, famiglie, scuole, parrocchie, volontariato. La Chiesa quindi fa e può continuare a fare molto per l’accoglienza e l’integrazione, contribuendovi attraverso la sua grande e spesso poco appariscente opera educativa, verso i cristiani e verso i non cristiani.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Anche nel dibattito sulle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unioni civili</w:t>
      </w: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e sui temi in genere ad esso collegate – come il </w:t>
      </w:r>
      <w:r w:rsidRPr="00556F3A">
        <w:rPr>
          <w:rFonts w:ascii="Times New Roman" w:eastAsia="Calibri" w:hAnsi="Times New Roman" w:cs="Times New Roman"/>
          <w:i/>
          <w:sz w:val="24"/>
          <w:szCs w:val="24"/>
        </w:rPr>
        <w:t>gender</w:t>
      </w:r>
      <w:r w:rsidRPr="00556F3A">
        <w:rPr>
          <w:rFonts w:ascii="Times New Roman" w:eastAsia="Calibri" w:hAnsi="Times New Roman" w:cs="Times New Roman"/>
          <w:sz w:val="24"/>
          <w:szCs w:val="24"/>
        </w:rPr>
        <w:t xml:space="preserve"> o le unioni omosessuali – è necessario comporre il riconoscimento dei cosiddetti “diritti civili”, in modo che non vi siano discriminazioni individuali, tenendo però presenti le parti più deboli: la famiglia fondata sul matrimonio e i bambini. La famiglia sposata, infatti, appare oggi in alcuni casi socialmente penalizzata rispetto alle coppie conviventi; dai tempi antichi, invece, le legislazioni avevano favorito l’unione stabile tra un uomo e una donna, in vista dell’accoglienza ed educazione dei figli e di una trasmissione ordinata del patrimonio: non quindi per motivi religiosi, ma per motivi sociali. I bambini poi, per crescere e maturare, richiedono entrambe le figure parentali, maschio e femmina: è necessario mettere loro, come parte più fragile, al centro dell’attenzione e farne il perno dei “diritti” anche quando si tratta dell’adozione.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Consegno queste riflessioni a chiunque desideri proseguire un dibattito che non si limiti a dare voce ad emozioni momentanee, ma accetti di ragionare e confrontarsi sulla teoria e sull’esperienza.</w:t>
      </w:r>
    </w:p>
    <w:p w:rsid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E75" w:rsidRDefault="00474E75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E75" w:rsidRDefault="00474E75" w:rsidP="00474E75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 Erio Castellucci</w:t>
      </w:r>
    </w:p>
    <w:p w:rsidR="00474E75" w:rsidRDefault="00474E75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E75" w:rsidRPr="00556F3A" w:rsidRDefault="00474E75" w:rsidP="00474E75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6F3A" w:rsidRPr="00556F3A" w:rsidRDefault="00556F3A" w:rsidP="00556F3A">
      <w:pPr>
        <w:spacing w:after="0" w:line="240" w:lineRule="auto"/>
        <w:ind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6F3A">
        <w:rPr>
          <w:rFonts w:ascii="Times New Roman" w:eastAsia="Calibri" w:hAnsi="Times New Roman" w:cs="Times New Roman"/>
          <w:sz w:val="24"/>
          <w:szCs w:val="24"/>
        </w:rPr>
        <w:t>Modena, 31 gennaio 2016</w:t>
      </w:r>
    </w:p>
    <w:p w:rsidR="00556F3A" w:rsidRPr="00556F3A" w:rsidRDefault="00556F3A" w:rsidP="00556F3A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CBB" w:rsidRDefault="007F6CBB"/>
    <w:sectPr w:rsidR="007F6CBB" w:rsidSect="007F6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56F3A"/>
    <w:rsid w:val="00474E75"/>
    <w:rsid w:val="00556F3A"/>
    <w:rsid w:val="00686BD7"/>
    <w:rsid w:val="007F6CBB"/>
    <w:rsid w:val="007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556F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2016-01-26T08:46:00Z</cp:lastPrinted>
  <dcterms:created xsi:type="dcterms:W3CDTF">2016-01-25T18:00:00Z</dcterms:created>
  <dcterms:modified xsi:type="dcterms:W3CDTF">2016-01-26T08:54:00Z</dcterms:modified>
</cp:coreProperties>
</file>